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6816EC" w:rsidTr="006816EC">
        <w:trPr>
          <w:trHeight w:val="295"/>
          <w:jc w:val="center"/>
        </w:trPr>
        <w:tc>
          <w:tcPr>
            <w:tcW w:w="5049" w:type="dxa"/>
            <w:gridSpan w:val="3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771" w:type="dxa"/>
            <w:hideMark/>
          </w:tcPr>
          <w:p w:rsidR="006816EC" w:rsidRDefault="006816EC">
            <w:pPr>
              <w:rPr>
                <w:rFonts w:ascii="Arial (W1)" w:hAnsi="Arial (W1)"/>
                <w:szCs w:val="28"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מספר בקשה:</w:t>
            </w:r>
            <w:sdt>
              <w:sdtPr>
                <w:rPr>
                  <w:rFonts w:hint="cs"/>
                  <w:rtl/>
                </w:rPr>
                <w:alias w:val="1193"/>
                <w:tag w:val="1193"/>
                <w:id w:val="-1269692480"/>
                <w:text w:multiLine="1"/>
              </w:sdtPr>
              <w:sdtEndPr/>
              <w:sdtContent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8</w:t>
                </w:r>
              </w:sdtContent>
            </w:sdt>
          </w:p>
        </w:tc>
      </w:tr>
      <w:tr w:rsidR="006816EC" w:rsidTr="006816EC">
        <w:trPr>
          <w:jc w:val="center"/>
        </w:trPr>
        <w:tc>
          <w:tcPr>
            <w:tcW w:w="743" w:type="dxa"/>
            <w:hideMark/>
          </w:tcPr>
          <w:p w:rsidR="006816EC" w:rsidRDefault="00FB3C14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>ל</w:t>
            </w:r>
            <w:r w:rsidR="006816EC">
              <w:rPr>
                <w:rFonts w:hint="cs"/>
                <w:b/>
                <w:bCs/>
                <w:sz w:val="28"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  <w:hideMark/>
          </w:tcPr>
          <w:p w:rsidR="006816E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רותם קודלר עיאש</w:t>
                </w:r>
              </w:sdtContent>
            </w:sdt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Fonts w:hint="cs"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7E3535" w:rsidRDefault="00A41039" w:rsidP="00A41039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תובע</w:t>
                </w:r>
              </w:p>
            </w:sdtContent>
          </w:sdt>
        </w:tc>
        <w:tc>
          <w:tcPr>
            <w:tcW w:w="5571" w:type="dxa"/>
            <w:gridSpan w:val="2"/>
          </w:tcPr>
          <w:p w:rsidR="00A41039" w:rsidRDefault="00B06A69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פלוני</w:t>
            </w:r>
            <w:r w:rsidR="00E44DDF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</w:p>
          <w:p w:rsidR="006816EC" w:rsidRDefault="00E44DDF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ע"י ב"כ עוה"ד</w:t>
            </w:r>
            <w:r w:rsidR="00A4103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אביעד </w:t>
            </w:r>
            <w:r w:rsidR="00A41039" w:rsidRPr="00D845AC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טריקי</w:t>
            </w:r>
            <w:r w:rsidR="00D845AC" w:rsidRPr="00D845AC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 xml:space="preserve"> ועו"ד גלעד אבני</w:t>
            </w: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4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816EC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Pr="00A41039" w:rsidRDefault="00A41039" w:rsidP="00A41039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r w:rsidRPr="00A41039">
              <w:rPr>
                <w:rFonts w:hint="cs"/>
                <w:b/>
                <w:bCs/>
                <w:rtl/>
              </w:rPr>
              <w:t>נתבעים</w:t>
            </w:r>
          </w:p>
        </w:tc>
        <w:tc>
          <w:tcPr>
            <w:tcW w:w="5571" w:type="dxa"/>
            <w:gridSpan w:val="2"/>
          </w:tcPr>
          <w:p w:rsidR="00A41039" w:rsidRDefault="0025493B" w:rsidP="00B06A69">
            <w:pPr>
              <w:rPr>
                <w:rtl/>
              </w:rPr>
            </w:pPr>
            <w:sdt>
              <w:sdtPr>
                <w:rPr>
                  <w:rFonts w:hint="cs"/>
                  <w:rtl/>
                </w:rPr>
                <w:alias w:val="1571"/>
                <w:tag w:val="1571"/>
                <w:id w:val="-1361515445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1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r w:rsidR="00B06A69">
              <w:rPr>
                <w:rFonts w:hint="cs"/>
                <w:b/>
                <w:bCs/>
                <w:noProof w:val="0"/>
                <w:sz w:val="28"/>
                <w:rtl/>
              </w:rPr>
              <w:t>אלמוני</w:t>
            </w:r>
            <w:r w:rsidR="00E44DDF">
              <w:rPr>
                <w:rFonts w:hint="cs"/>
                <w:rtl/>
              </w:rPr>
              <w:t xml:space="preserve"> </w:t>
            </w:r>
          </w:p>
          <w:p w:rsidR="006816EC" w:rsidRDefault="00D845AC">
            <w:pPr>
              <w:rPr>
                <w:rFonts w:ascii="Arial (W1)" w:hAnsi="Arial (W1)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  </w:t>
            </w:r>
            <w:r w:rsidR="00E44DDF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ע"י ב"כ עוה"ד</w:t>
            </w:r>
            <w:r w:rsidR="00A41039">
              <w:rPr>
                <w:rFonts w:ascii="Arial (W1)" w:hAnsi="Arial (W1)" w:hint="cs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  <w:r w:rsidR="00A41039" w:rsidRPr="00A41039">
              <w:rPr>
                <w:rFonts w:ascii="Arial (W1)" w:hAnsi="Arial (W1)" w:hint="cs"/>
                <w:b/>
                <w:bCs/>
                <w:noProof w:val="0"/>
                <w:sz w:val="26"/>
                <w:szCs w:val="26"/>
                <w:rtl/>
              </w:rPr>
              <w:t>יעקב פרץ</w:t>
            </w:r>
          </w:p>
          <w:p w:rsidR="00A41039" w:rsidRDefault="00A41039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6816EC" w:rsidRDefault="0025493B" w:rsidP="00B06A69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571"/>
                <w:tag w:val="1571"/>
                <w:id w:val="1125129396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2</w:t>
                </w:r>
              </w:sdtContent>
            </w:sdt>
            <w:r w:rsidR="006816EC">
              <w:rPr>
                <w:rFonts w:hint="cs"/>
                <w:b/>
                <w:bCs/>
                <w:noProof w:val="0"/>
                <w:sz w:val="28"/>
                <w:rtl/>
              </w:rPr>
              <w:t>.</w:t>
            </w: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86"/>
                <w:tag w:val="1486"/>
                <w:id w:val="-604730955"/>
                <w:text w:multiLine="1"/>
              </w:sdtPr>
              <w:sdtEndPr/>
              <w:sdtContent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 xml:space="preserve">עיזבון המנוחה </w:t>
                </w:r>
                <w:r w:rsidR="00B06A69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אלמונית</w:t>
                </w:r>
                <w:r w:rsidR="00FB3C14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 xml:space="preserve"> ז"ל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  <w:r w:rsidR="00E44DDF">
              <w:rPr>
                <w:rFonts w:hint="cs"/>
                <w:rtl/>
              </w:rPr>
              <w:t xml:space="preserve"> </w:t>
            </w:r>
          </w:p>
        </w:tc>
      </w:tr>
    </w:tbl>
    <w:p w:rsidR="006816EC" w:rsidRDefault="006816EC" w:rsidP="006816EC">
      <w:pPr>
        <w:suppressLineNumbers/>
        <w:rPr>
          <w:rFonts w:ascii="Arial (W1)" w:hAnsi="Arial (W1)"/>
          <w:sz w:val="28"/>
          <w:szCs w:val="28"/>
          <w:rtl/>
        </w:rPr>
      </w:pPr>
    </w:p>
    <w:p w:rsidR="006816EC" w:rsidRDefault="006816EC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845AC" w:rsidRDefault="00D845AC" w:rsidP="00B06A69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1.</w:t>
      </w:r>
      <w:r>
        <w:rPr>
          <w:rFonts w:ascii="Arial" w:hAnsi="Arial" w:hint="cs"/>
          <w:noProof w:val="0"/>
          <w:rtl/>
        </w:rPr>
        <w:tab/>
      </w:r>
      <w:r w:rsidR="007464AD" w:rsidRPr="007464AD">
        <w:rPr>
          <w:rFonts w:ascii="Arial" w:hAnsi="Arial"/>
          <w:noProof w:val="0"/>
          <w:rtl/>
        </w:rPr>
        <w:t xml:space="preserve">ביום 5.11.24 לאחר מס' החלטות שניתנו בענין אופן ניהול התביעה והאפשרות להגשת כתב תביעה מתוקן, </w:t>
      </w:r>
      <w:r w:rsidR="00A41039">
        <w:rPr>
          <w:rFonts w:ascii="Arial" w:hAnsi="Arial" w:hint="cs"/>
          <w:noProof w:val="0"/>
          <w:rtl/>
        </w:rPr>
        <w:t xml:space="preserve">לרבות ביחס למחיקת הנתבע 2 שהוגדר ע"י התובע כ"עיזבון המנוחה </w:t>
      </w:r>
      <w:r w:rsidR="00B06A69">
        <w:rPr>
          <w:rFonts w:ascii="Arial" w:hAnsi="Arial" w:hint="cs"/>
          <w:noProof w:val="0"/>
          <w:rtl/>
        </w:rPr>
        <w:t>.....</w:t>
      </w:r>
      <w:r w:rsidR="00A41039">
        <w:rPr>
          <w:rFonts w:ascii="Arial" w:hAnsi="Arial" w:hint="cs"/>
          <w:noProof w:val="0"/>
          <w:rtl/>
        </w:rPr>
        <w:t xml:space="preserve">" הגם שהובהר כי עיזבון איננו אישיות משפטית, </w:t>
      </w:r>
      <w:r w:rsidR="007464AD" w:rsidRPr="007464AD">
        <w:rPr>
          <w:rFonts w:ascii="Arial" w:hAnsi="Arial"/>
          <w:noProof w:val="0"/>
          <w:rtl/>
        </w:rPr>
        <w:t xml:space="preserve">הוגשה ע"י התובע תגובה במסגרתה עתר למחיקת התובענה שהוגשה על ידו, ללא צו להוצאות. </w:t>
      </w:r>
    </w:p>
    <w:p w:rsidR="007464AD" w:rsidRPr="007464AD" w:rsidRDefault="00D845AC" w:rsidP="00D845AC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2.</w:t>
      </w:r>
      <w:r>
        <w:rPr>
          <w:rFonts w:ascii="Arial" w:hAnsi="Arial" w:hint="cs"/>
          <w:noProof w:val="0"/>
          <w:rtl/>
        </w:rPr>
        <w:tab/>
      </w:r>
      <w:r w:rsidRPr="007464AD">
        <w:rPr>
          <w:rFonts w:ascii="Arial" w:hAnsi="Arial"/>
          <w:noProof w:val="0"/>
          <w:rtl/>
        </w:rPr>
        <w:t>ביום 8.11.24 הו</w:t>
      </w:r>
      <w:r>
        <w:rPr>
          <w:rFonts w:ascii="Arial" w:hAnsi="Arial"/>
          <w:noProof w:val="0"/>
          <w:rtl/>
        </w:rPr>
        <w:t>גשה תגובת הנתבע</w:t>
      </w:r>
      <w:r>
        <w:rPr>
          <w:rFonts w:ascii="Arial" w:hAnsi="Arial" w:hint="cs"/>
          <w:noProof w:val="0"/>
          <w:rtl/>
        </w:rPr>
        <w:t xml:space="preserve">. </w:t>
      </w:r>
      <w:r w:rsidR="007464AD" w:rsidRPr="007464AD">
        <w:rPr>
          <w:rFonts w:ascii="Arial" w:hAnsi="Arial"/>
          <w:noProof w:val="0"/>
          <w:rtl/>
        </w:rPr>
        <w:t>הנתבע איננו מתנגד למחיקת ההליך ומעלה טענות בענין חיוב התובע בהוצאות ההליך</w:t>
      </w:r>
      <w:r>
        <w:rPr>
          <w:rFonts w:ascii="Arial" w:hAnsi="Arial" w:hint="cs"/>
          <w:noProof w:val="0"/>
          <w:rtl/>
        </w:rPr>
        <w:t xml:space="preserve"> ועותר לחיוב התובע בהוצאותיו בסכום שלא יפחת מהתעריף המינימלי שנקבע בכללי לשכת עורכי הדין בסך 51,139 ₪ </w:t>
      </w:r>
      <w:r w:rsidR="007464AD" w:rsidRPr="007464AD">
        <w:rPr>
          <w:rFonts w:ascii="Arial" w:hAnsi="Arial"/>
          <w:noProof w:val="0"/>
          <w:rtl/>
        </w:rPr>
        <w:t>.</w:t>
      </w:r>
    </w:p>
    <w:p w:rsidR="007464AD" w:rsidRPr="007464AD" w:rsidRDefault="00D845AC" w:rsidP="00D845AC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3.</w:t>
      </w:r>
      <w:r>
        <w:rPr>
          <w:rFonts w:ascii="Arial" w:hAnsi="Arial" w:hint="cs"/>
          <w:noProof w:val="0"/>
          <w:rtl/>
        </w:rPr>
        <w:tab/>
      </w:r>
      <w:r w:rsidR="007464AD" w:rsidRPr="007464AD">
        <w:rPr>
          <w:rFonts w:ascii="Arial" w:hAnsi="Arial"/>
          <w:noProof w:val="0"/>
          <w:rtl/>
        </w:rPr>
        <w:t xml:space="preserve">לאחר עיון בתיק, בבקשה למחיקה ובתגובה לה ובשים לב לכך שעסקינן בתיק המתנהל מזה 3 שנים אשר במהלכן הוגש כתב הגנה, התקיימו שתי ישיבות קדם משפט, נערך הליך גילוי מסמכים וכן הוגשו וטופלו מספר רב של בקשות ותגובות, </w:t>
      </w:r>
      <w:r w:rsidR="007464AD" w:rsidRPr="00D845AC">
        <w:rPr>
          <w:rFonts w:ascii="Arial" w:hAnsi="Arial"/>
          <w:b/>
          <w:bCs/>
          <w:noProof w:val="0"/>
          <w:u w:val="single"/>
          <w:rtl/>
        </w:rPr>
        <w:t>מצאתי לקבל את בקשת התובע למחיקת התובענה תוך פסיקת הוצאות ההליך לטובת הנתבע .</w:t>
      </w:r>
    </w:p>
    <w:p w:rsidR="00DD38E5" w:rsidRPr="00DD38E5" w:rsidRDefault="00D845AC" w:rsidP="00D845AC">
      <w:pPr>
        <w:spacing w:line="360" w:lineRule="auto"/>
        <w:ind w:left="720" w:hanging="720"/>
        <w:jc w:val="both"/>
        <w:rPr>
          <w:rFonts w:ascii="David" w:hAnsi="David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t>4.</w:t>
      </w:r>
      <w:r>
        <w:rPr>
          <w:rFonts w:ascii="Arial" w:hAnsi="Arial" w:hint="cs"/>
          <w:noProof w:val="0"/>
          <w:rtl/>
        </w:rPr>
        <w:tab/>
      </w:r>
      <w:r w:rsidR="00DD38E5">
        <w:rPr>
          <w:rFonts w:ascii="Arial" w:hAnsi="Arial" w:hint="cs"/>
          <w:noProof w:val="0"/>
          <w:rtl/>
        </w:rPr>
        <w:t xml:space="preserve">מצאתי להזכיר את  הוראת </w:t>
      </w:r>
      <w:r w:rsidR="00DD38E5" w:rsidRPr="00DD38E5">
        <w:rPr>
          <w:rFonts w:ascii="Arial" w:hAnsi="Arial" w:hint="cs"/>
          <w:b/>
          <w:bCs/>
          <w:noProof w:val="0"/>
          <w:u w:val="single"/>
          <w:rtl/>
        </w:rPr>
        <w:t xml:space="preserve">תקנה 152 לתקנות סדר הדין האזרחי, תשע"ט </w:t>
      </w:r>
      <w:r w:rsidR="00DD38E5" w:rsidRPr="00DD38E5">
        <w:rPr>
          <w:rFonts w:ascii="Arial" w:hAnsi="Arial"/>
          <w:b/>
          <w:bCs/>
          <w:noProof w:val="0"/>
          <w:u w:val="single"/>
          <w:rtl/>
        </w:rPr>
        <w:t>–</w:t>
      </w:r>
      <w:r w:rsidR="00DD38E5" w:rsidRPr="00DD38E5">
        <w:rPr>
          <w:rFonts w:ascii="Arial" w:hAnsi="Arial" w:hint="cs"/>
          <w:b/>
          <w:bCs/>
          <w:noProof w:val="0"/>
          <w:u w:val="single"/>
          <w:rtl/>
        </w:rPr>
        <w:t xml:space="preserve"> </w:t>
      </w:r>
      <w:r w:rsidR="00DD38E5">
        <w:rPr>
          <w:rFonts w:ascii="Arial" w:hAnsi="Arial" w:hint="cs"/>
          <w:noProof w:val="0"/>
          <w:rtl/>
        </w:rPr>
        <w:t xml:space="preserve">2018, לפיה </w:t>
      </w:r>
      <w:r w:rsidR="00DD38E5" w:rsidRPr="00DD38E5">
        <w:rPr>
          <w:rFonts w:ascii="David" w:hAnsi="David"/>
          <w:b/>
          <w:bCs/>
          <w:noProof w:val="0"/>
          <w:rtl/>
        </w:rPr>
        <w:t>"</w:t>
      </w:r>
      <w:r w:rsidR="00DD38E5" w:rsidRPr="00DD38E5">
        <w:rPr>
          <w:rFonts w:ascii="David" w:hAnsi="David"/>
          <w:b/>
          <w:bCs/>
          <w:rtl/>
        </w:rPr>
        <w:t>בתום הדיון יפסוק בית המשפט הוצאות סבירות והוגנות, זולת אם מצא שקיימים טעמים מיוחדים שלא לחייב בהוצאות כאמור</w:t>
      </w:r>
      <w:r w:rsidR="00DD38E5" w:rsidRPr="00DD38E5">
        <w:rPr>
          <w:rFonts w:ascii="David" w:hAnsi="David"/>
          <w:b/>
          <w:bCs/>
          <w:noProof w:val="0"/>
          <w:rtl/>
        </w:rPr>
        <w:t>."</w:t>
      </w:r>
    </w:p>
    <w:p w:rsidR="007464AD" w:rsidRDefault="00DD38E5" w:rsidP="00D845AC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כן אפנה להוראות </w:t>
      </w:r>
      <w:r w:rsidRPr="00D845AC">
        <w:rPr>
          <w:rFonts w:ascii="Arial" w:hAnsi="Arial" w:hint="cs"/>
          <w:b/>
          <w:bCs/>
          <w:noProof w:val="0"/>
          <w:u w:val="single"/>
          <w:rtl/>
        </w:rPr>
        <w:t>תקנה 153 (ג) לתקנות סדר הדין האזרחי</w:t>
      </w:r>
      <w:r>
        <w:rPr>
          <w:rFonts w:ascii="Arial" w:hAnsi="Arial" w:hint="cs"/>
          <w:noProof w:val="0"/>
          <w:rtl/>
        </w:rPr>
        <w:t xml:space="preserve"> ואבהיר כי בענייננו, </w:t>
      </w:r>
      <w:r w:rsidR="00A41039">
        <w:rPr>
          <w:rFonts w:ascii="Arial" w:hAnsi="Arial"/>
          <w:noProof w:val="0"/>
          <w:rtl/>
        </w:rPr>
        <w:t>מעבר למסגרת עצ</w:t>
      </w:r>
      <w:r w:rsidR="007464AD" w:rsidRPr="007464AD">
        <w:rPr>
          <w:rFonts w:ascii="Arial" w:hAnsi="Arial"/>
          <w:noProof w:val="0"/>
          <w:rtl/>
        </w:rPr>
        <w:t>מ</w:t>
      </w:r>
      <w:r w:rsidR="00A41039">
        <w:rPr>
          <w:rFonts w:ascii="Arial" w:hAnsi="Arial" w:hint="cs"/>
          <w:noProof w:val="0"/>
          <w:rtl/>
        </w:rPr>
        <w:t>ה</w:t>
      </w:r>
      <w:r w:rsidR="007464AD" w:rsidRPr="007464AD">
        <w:rPr>
          <w:rFonts w:ascii="Arial" w:hAnsi="Arial"/>
          <w:noProof w:val="0"/>
          <w:rtl/>
        </w:rPr>
        <w:t xml:space="preserve"> של הימשכות ההליך, </w:t>
      </w:r>
      <w:r>
        <w:rPr>
          <w:rFonts w:ascii="Arial" w:hAnsi="Arial" w:hint="cs"/>
          <w:noProof w:val="0"/>
          <w:rtl/>
        </w:rPr>
        <w:t xml:space="preserve">2 </w:t>
      </w:r>
      <w:r w:rsidR="007464AD" w:rsidRPr="007464AD">
        <w:rPr>
          <w:rFonts w:ascii="Arial" w:hAnsi="Arial"/>
          <w:noProof w:val="0"/>
          <w:rtl/>
        </w:rPr>
        <w:t xml:space="preserve">קד"מ שהתקיימו והגשת כתבי טענות </w:t>
      </w:r>
      <w:r>
        <w:rPr>
          <w:rFonts w:ascii="Arial" w:hAnsi="Arial" w:hint="cs"/>
          <w:noProof w:val="0"/>
          <w:rtl/>
        </w:rPr>
        <w:t xml:space="preserve">שונים, בקשות ותגובות, </w:t>
      </w:r>
      <w:r w:rsidR="007464AD" w:rsidRPr="007464AD">
        <w:rPr>
          <w:rFonts w:ascii="Arial" w:hAnsi="Arial"/>
          <w:noProof w:val="0"/>
          <w:rtl/>
        </w:rPr>
        <w:t>מביא ביהמ"ש בחשבון גם את התנהלות הצדדים עצמם</w:t>
      </w:r>
      <w:r w:rsidR="00933E14">
        <w:rPr>
          <w:rFonts w:ascii="Arial" w:hAnsi="Arial" w:hint="cs"/>
          <w:noProof w:val="0"/>
          <w:rtl/>
        </w:rPr>
        <w:t>,</w:t>
      </w:r>
      <w:r w:rsidR="007464AD" w:rsidRPr="007464AD">
        <w:rPr>
          <w:rFonts w:ascii="Arial" w:hAnsi="Arial"/>
          <w:noProof w:val="0"/>
          <w:rtl/>
        </w:rPr>
        <w:t xml:space="preserve"> כאשר התובע בהתנהלותו הביא לגרירת ההליכים</w:t>
      </w:r>
      <w:r>
        <w:rPr>
          <w:rFonts w:ascii="Arial" w:hAnsi="Arial" w:hint="cs"/>
          <w:noProof w:val="0"/>
          <w:rtl/>
        </w:rPr>
        <w:t>, תוך שלא תיקן מחדלים שנפלו מצידו באופן הגשת ההליכים וניהולם</w:t>
      </w:r>
      <w:r w:rsidR="007464AD" w:rsidRPr="007464AD">
        <w:rPr>
          <w:rFonts w:ascii="Arial" w:hAnsi="Arial"/>
          <w:noProof w:val="0"/>
          <w:rtl/>
        </w:rPr>
        <w:t>.</w:t>
      </w:r>
    </w:p>
    <w:p w:rsidR="00DD38E5" w:rsidRPr="007464AD" w:rsidRDefault="00D845AC" w:rsidP="00D845AC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5.</w:t>
      </w:r>
      <w:r>
        <w:rPr>
          <w:rFonts w:ascii="Arial" w:hAnsi="Arial" w:hint="cs"/>
          <w:noProof w:val="0"/>
          <w:rtl/>
        </w:rPr>
        <w:tab/>
      </w:r>
      <w:r w:rsidR="00DD38E5">
        <w:rPr>
          <w:rFonts w:ascii="Arial" w:hAnsi="Arial" w:hint="cs"/>
          <w:noProof w:val="0"/>
          <w:rtl/>
        </w:rPr>
        <w:t>כאמור בענייננו לא זו בלבד שלא מצאתי כי מתקיימים טעמים מיוחדים שלא לחייב</w:t>
      </w:r>
      <w:r w:rsidR="00933E14">
        <w:rPr>
          <w:rFonts w:ascii="Arial" w:hAnsi="Arial" w:hint="cs"/>
          <w:noProof w:val="0"/>
          <w:rtl/>
        </w:rPr>
        <w:t xml:space="preserve"> בהוצאות ההליך</w:t>
      </w:r>
      <w:r w:rsidR="00DD38E5">
        <w:rPr>
          <w:rFonts w:ascii="Arial" w:hAnsi="Arial" w:hint="cs"/>
          <w:noProof w:val="0"/>
          <w:rtl/>
        </w:rPr>
        <w:t>, אלא סבורני כי מתקיימים טעמים מיוחדים לחייב בהוצאות משפט ריאליות המשקפות את ההוצאות שנגרמו בפועל לנתבע.</w:t>
      </w:r>
    </w:p>
    <w:p w:rsidR="007464AD" w:rsidRPr="00D845AC" w:rsidRDefault="00D845AC" w:rsidP="00D845AC">
      <w:pPr>
        <w:spacing w:line="360" w:lineRule="auto"/>
        <w:ind w:left="720" w:hanging="720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6.</w:t>
      </w:r>
      <w:r>
        <w:rPr>
          <w:rFonts w:ascii="Arial" w:hAnsi="Arial" w:hint="cs"/>
          <w:noProof w:val="0"/>
          <w:rtl/>
        </w:rPr>
        <w:tab/>
      </w:r>
      <w:r w:rsidR="007464AD" w:rsidRPr="007464AD">
        <w:rPr>
          <w:rFonts w:ascii="Arial" w:hAnsi="Arial"/>
          <w:noProof w:val="0"/>
          <w:rtl/>
        </w:rPr>
        <w:t>לאחר שהבאתי בחשבון מכלו</w:t>
      </w:r>
      <w:r w:rsidR="007464AD">
        <w:rPr>
          <w:rFonts w:ascii="Arial" w:hAnsi="Arial" w:hint="cs"/>
          <w:noProof w:val="0"/>
          <w:rtl/>
        </w:rPr>
        <w:t>ל</w:t>
      </w:r>
      <w:r w:rsidR="007464AD" w:rsidRPr="007464AD">
        <w:rPr>
          <w:rFonts w:ascii="Arial" w:hAnsi="Arial"/>
          <w:noProof w:val="0"/>
          <w:rtl/>
        </w:rPr>
        <w:t xml:space="preserve"> השיקולים כאמור לעיל אני מוצאת </w:t>
      </w:r>
      <w:r w:rsidR="007464AD" w:rsidRPr="00D845AC">
        <w:rPr>
          <w:rFonts w:ascii="Arial" w:hAnsi="Arial"/>
          <w:b/>
          <w:bCs/>
          <w:noProof w:val="0"/>
          <w:rtl/>
        </w:rPr>
        <w:t>להורות על מח</w:t>
      </w:r>
      <w:r w:rsidR="00DD38E5" w:rsidRPr="00D845AC">
        <w:rPr>
          <w:rFonts w:ascii="Arial" w:hAnsi="Arial" w:hint="cs"/>
          <w:b/>
          <w:bCs/>
          <w:noProof w:val="0"/>
          <w:rtl/>
        </w:rPr>
        <w:t>י</w:t>
      </w:r>
      <w:r w:rsidR="007464AD" w:rsidRPr="00D845AC">
        <w:rPr>
          <w:rFonts w:ascii="Arial" w:hAnsi="Arial"/>
          <w:b/>
          <w:bCs/>
          <w:noProof w:val="0"/>
          <w:rtl/>
        </w:rPr>
        <w:t xml:space="preserve">קת התובענה ועל חיוב התובע בהוצאות הנתבע בסך </w:t>
      </w:r>
      <w:r>
        <w:rPr>
          <w:rFonts w:ascii="Arial" w:hAnsi="Arial" w:hint="cs"/>
          <w:b/>
          <w:bCs/>
          <w:noProof w:val="0"/>
          <w:rtl/>
        </w:rPr>
        <w:t>35</w:t>
      </w:r>
      <w:r w:rsidR="007464AD" w:rsidRPr="00D845AC">
        <w:rPr>
          <w:rFonts w:ascii="Arial" w:hAnsi="Arial"/>
          <w:b/>
          <w:bCs/>
          <w:noProof w:val="0"/>
          <w:rtl/>
        </w:rPr>
        <w:t xml:space="preserve">,000 </w:t>
      </w:r>
      <w:r>
        <w:rPr>
          <w:rFonts w:ascii="Arial" w:hAnsi="Arial" w:hint="cs"/>
          <w:b/>
          <w:bCs/>
          <w:noProof w:val="0"/>
          <w:rtl/>
        </w:rPr>
        <w:t xml:space="preserve">₪  </w:t>
      </w:r>
      <w:r w:rsidR="007464AD" w:rsidRPr="00D845AC">
        <w:rPr>
          <w:rFonts w:ascii="Arial" w:hAnsi="Arial"/>
          <w:b/>
          <w:bCs/>
          <w:noProof w:val="0"/>
          <w:rtl/>
        </w:rPr>
        <w:t>אשר ישולמו בתוך 30 ימים כאשר הסכום נושא הפרשי הצמדה עד מועד התשלום</w:t>
      </w:r>
      <w:r>
        <w:rPr>
          <w:rFonts w:ascii="Arial" w:hAnsi="Arial" w:hint="cs"/>
          <w:b/>
          <w:bCs/>
          <w:noProof w:val="0"/>
          <w:rtl/>
        </w:rPr>
        <w:t xml:space="preserve"> בפועל</w:t>
      </w:r>
      <w:r w:rsidR="007464AD" w:rsidRPr="00D845AC">
        <w:rPr>
          <w:rFonts w:ascii="Arial" w:hAnsi="Arial"/>
          <w:b/>
          <w:bCs/>
          <w:noProof w:val="0"/>
          <w:rtl/>
        </w:rPr>
        <w:t>.</w:t>
      </w:r>
    </w:p>
    <w:p w:rsidR="00DD38E5" w:rsidRPr="007464AD" w:rsidRDefault="00D845AC" w:rsidP="00D845AC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7.</w:t>
      </w:r>
      <w:r>
        <w:rPr>
          <w:rFonts w:ascii="Arial" w:hAnsi="Arial" w:hint="cs"/>
          <w:noProof w:val="0"/>
          <w:rtl/>
        </w:rPr>
        <w:tab/>
      </w:r>
      <w:r w:rsidR="00DD38E5">
        <w:rPr>
          <w:rFonts w:ascii="Arial" w:hAnsi="Arial" w:hint="cs"/>
          <w:noProof w:val="0"/>
          <w:rtl/>
        </w:rPr>
        <w:t xml:space="preserve">מובהר כי הבאתי בחשבון טענת הנתבע כי הוציא מאות אלפי שקלים במסגרת ניהול ההליכים אך מובהר כי ביהמ"ש </w:t>
      </w:r>
      <w:r w:rsidR="00933E14">
        <w:rPr>
          <w:rFonts w:ascii="Arial" w:hAnsi="Arial" w:hint="cs"/>
          <w:noProof w:val="0"/>
          <w:rtl/>
        </w:rPr>
        <w:t xml:space="preserve">אף </w:t>
      </w:r>
      <w:r w:rsidR="00DD38E5">
        <w:rPr>
          <w:rFonts w:ascii="Arial" w:hAnsi="Arial" w:hint="cs"/>
          <w:noProof w:val="0"/>
          <w:rtl/>
        </w:rPr>
        <w:t>ער לכך שחלק מההליכים התנהלו בתביעות קשורות שבירורן הסתיים (לרבות תובענה לביטול צו קיום</w:t>
      </w:r>
      <w:r>
        <w:rPr>
          <w:rFonts w:ascii="Arial" w:hAnsi="Arial" w:hint="cs"/>
          <w:noProof w:val="0"/>
          <w:rtl/>
        </w:rPr>
        <w:t xml:space="preserve"> צוואה שהתנהלה בין </w:t>
      </w:r>
      <w:r w:rsidR="00933E14">
        <w:rPr>
          <w:rFonts w:ascii="Arial" w:hAnsi="Arial" w:hint="cs"/>
          <w:noProof w:val="0"/>
          <w:rtl/>
        </w:rPr>
        <w:t xml:space="preserve">אותם </w:t>
      </w:r>
      <w:r>
        <w:rPr>
          <w:rFonts w:ascii="Arial" w:hAnsi="Arial" w:hint="cs"/>
          <w:noProof w:val="0"/>
          <w:rtl/>
        </w:rPr>
        <w:t>בעה"ד)</w:t>
      </w:r>
      <w:r w:rsidR="00DD38E5">
        <w:rPr>
          <w:rFonts w:ascii="Arial" w:hAnsi="Arial" w:hint="cs"/>
          <w:noProof w:val="0"/>
          <w:rtl/>
        </w:rPr>
        <w:t xml:space="preserve"> וגם שם פסק ביהמ"</w:t>
      </w:r>
      <w:r w:rsidR="00933E14">
        <w:rPr>
          <w:rFonts w:ascii="Arial" w:hAnsi="Arial" w:hint="cs"/>
          <w:noProof w:val="0"/>
          <w:rtl/>
        </w:rPr>
        <w:t xml:space="preserve">ש הוצאות </w:t>
      </w:r>
      <w:r w:rsidR="00DD38E5">
        <w:rPr>
          <w:rFonts w:ascii="Arial" w:hAnsi="Arial" w:hint="cs"/>
          <w:noProof w:val="0"/>
          <w:rtl/>
        </w:rPr>
        <w:t>משפט</w:t>
      </w:r>
      <w:r w:rsidR="00933E14">
        <w:rPr>
          <w:rFonts w:ascii="Arial" w:hAnsi="Arial" w:hint="cs"/>
          <w:noProof w:val="0"/>
          <w:rtl/>
        </w:rPr>
        <w:t xml:space="preserve"> לטובת הנתבע</w:t>
      </w:r>
      <w:r w:rsidR="00DD38E5">
        <w:rPr>
          <w:rFonts w:ascii="Arial" w:hAnsi="Arial" w:hint="cs"/>
          <w:noProof w:val="0"/>
          <w:rtl/>
        </w:rPr>
        <w:t>.</w:t>
      </w:r>
    </w:p>
    <w:p w:rsidR="00694556" w:rsidRDefault="00D845AC" w:rsidP="007464AD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8.</w:t>
      </w:r>
      <w:r>
        <w:rPr>
          <w:rFonts w:ascii="Arial" w:hAnsi="Arial" w:hint="cs"/>
          <w:noProof w:val="0"/>
          <w:rtl/>
        </w:rPr>
        <w:tab/>
      </w:r>
      <w:r w:rsidR="007464AD" w:rsidRPr="007464AD">
        <w:rPr>
          <w:rFonts w:ascii="Arial" w:hAnsi="Arial"/>
          <w:noProof w:val="0"/>
          <w:rtl/>
        </w:rPr>
        <w:t>המזכירות תשלח ההחלטה לצדדים ותסגור את התיק.</w:t>
      </w:r>
    </w:p>
    <w:p w:rsidR="00694556" w:rsidRDefault="00D845AC" w:rsidP="00D845A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9.</w:t>
      </w:r>
      <w:r>
        <w:rPr>
          <w:rFonts w:ascii="Arial" w:hAnsi="Arial" w:hint="cs"/>
          <w:noProof w:val="0"/>
          <w:rtl/>
        </w:rPr>
        <w:tab/>
        <w:t>מתירה העברה למאגרי פסיקה בהשמטת פרטים מזהים.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כ"ז חשוון תשפ"ה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28 נובמבר 2024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25493B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-459346938"/>
        </w:sdtPr>
        <w:sdtEndPr/>
        <w:sdtContent>
          <w:r w:rsidR="00920253">
            <w:drawing>
              <wp:inline distT="0" distB="0" distL="0" distR="0" wp14:editId="50D07946">
                <wp:extent cx="2362200" cy="476249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62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default" r:id="rId8"/>
      <w:footerReference w:type="default" r:id="rId9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93B" w:rsidRDefault="0025493B">
      <w:r>
        <w:separator/>
      </w:r>
    </w:p>
  </w:endnote>
  <w:endnote w:type="continuationSeparator" w:id="0">
    <w:p w:rsidR="0025493B" w:rsidRDefault="0025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25493B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25493B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93B" w:rsidRDefault="0025493B">
      <w:r>
        <w:separator/>
      </w:r>
    </w:p>
  </w:footnote>
  <w:footnote w:type="continuationSeparator" w:id="0">
    <w:p w:rsidR="0025493B" w:rsidRDefault="0025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541598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בבאר שבע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25493B" w:rsidP="00B06A69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תמ"ש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>7870-02-21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B06A69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פלוני </w:t>
              </w:r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נ' </w:t>
              </w:r>
              <w:r w:rsidR="00B06A69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אלמוני</w:t>
              </w:r>
              <w:r w:rsidR="00FB3C14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</w:t>
              </w:r>
            </w:sdtContent>
          </w:sdt>
        </w:p>
        <w:p w:rsidR="00694556" w:rsidRPr="00957C90" w:rsidRDefault="00694556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43595F" w:rsidRDefault="00957C90" w:rsidP="00957C90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5C7EC6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/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146C2"/>
    <w:rsid w:val="00016C35"/>
    <w:rsid w:val="000258FD"/>
    <w:rsid w:val="000564AB"/>
    <w:rsid w:val="000D4A02"/>
    <w:rsid w:val="001072A9"/>
    <w:rsid w:val="00121F97"/>
    <w:rsid w:val="001277D7"/>
    <w:rsid w:val="00132017"/>
    <w:rsid w:val="0014234E"/>
    <w:rsid w:val="00145A87"/>
    <w:rsid w:val="001C4003"/>
    <w:rsid w:val="001F5474"/>
    <w:rsid w:val="002352F7"/>
    <w:rsid w:val="0025493B"/>
    <w:rsid w:val="0027277D"/>
    <w:rsid w:val="00381D3A"/>
    <w:rsid w:val="003823DA"/>
    <w:rsid w:val="00415AEF"/>
    <w:rsid w:val="0043595F"/>
    <w:rsid w:val="0047645A"/>
    <w:rsid w:val="004D49A3"/>
    <w:rsid w:val="004D50AC"/>
    <w:rsid w:val="004E6E3C"/>
    <w:rsid w:val="005124F1"/>
    <w:rsid w:val="00530BAD"/>
    <w:rsid w:val="00541598"/>
    <w:rsid w:val="00547DB7"/>
    <w:rsid w:val="00567324"/>
    <w:rsid w:val="005B0F49"/>
    <w:rsid w:val="005C7EC6"/>
    <w:rsid w:val="005D4BDB"/>
    <w:rsid w:val="00622BAA"/>
    <w:rsid w:val="00625C89"/>
    <w:rsid w:val="00633C4F"/>
    <w:rsid w:val="00671BD5"/>
    <w:rsid w:val="006805C1"/>
    <w:rsid w:val="006816EC"/>
    <w:rsid w:val="00694556"/>
    <w:rsid w:val="006E1A53"/>
    <w:rsid w:val="007056AA"/>
    <w:rsid w:val="00744F41"/>
    <w:rsid w:val="007464AD"/>
    <w:rsid w:val="007A24FE"/>
    <w:rsid w:val="007A35AA"/>
    <w:rsid w:val="007E3535"/>
    <w:rsid w:val="007F1048"/>
    <w:rsid w:val="00820005"/>
    <w:rsid w:val="00823C3C"/>
    <w:rsid w:val="00846D27"/>
    <w:rsid w:val="008610A7"/>
    <w:rsid w:val="008E1332"/>
    <w:rsid w:val="00903896"/>
    <w:rsid w:val="00920253"/>
    <w:rsid w:val="00927813"/>
    <w:rsid w:val="00933E14"/>
    <w:rsid w:val="00944D13"/>
    <w:rsid w:val="00957C90"/>
    <w:rsid w:val="009B70F6"/>
    <w:rsid w:val="009C358E"/>
    <w:rsid w:val="009E0263"/>
    <w:rsid w:val="00A267CF"/>
    <w:rsid w:val="00A342BD"/>
    <w:rsid w:val="00A41039"/>
    <w:rsid w:val="00A43458"/>
    <w:rsid w:val="00AC4E19"/>
    <w:rsid w:val="00AF1ED6"/>
    <w:rsid w:val="00B06A69"/>
    <w:rsid w:val="00B11090"/>
    <w:rsid w:val="00B32C61"/>
    <w:rsid w:val="00B368FE"/>
    <w:rsid w:val="00B80CBD"/>
    <w:rsid w:val="00BC3369"/>
    <w:rsid w:val="00BF77EE"/>
    <w:rsid w:val="00C14DE8"/>
    <w:rsid w:val="00C32E0F"/>
    <w:rsid w:val="00C42BF9"/>
    <w:rsid w:val="00C5195B"/>
    <w:rsid w:val="00C83E56"/>
    <w:rsid w:val="00CC63CE"/>
    <w:rsid w:val="00D319B3"/>
    <w:rsid w:val="00D36A71"/>
    <w:rsid w:val="00D53924"/>
    <w:rsid w:val="00D60849"/>
    <w:rsid w:val="00D845AC"/>
    <w:rsid w:val="00D96D8C"/>
    <w:rsid w:val="00DA755B"/>
    <w:rsid w:val="00DD337E"/>
    <w:rsid w:val="00DD38E5"/>
    <w:rsid w:val="00E00B6F"/>
    <w:rsid w:val="00E44DDF"/>
    <w:rsid w:val="00E54642"/>
    <w:rsid w:val="00E97908"/>
    <w:rsid w:val="00EF3ED0"/>
    <w:rsid w:val="00F17E56"/>
    <w:rsid w:val="00FB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D84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200BA6"/>
    <w:rsid w:val="0053305A"/>
    <w:rsid w:val="00833049"/>
    <w:rsid w:val="008D0210"/>
    <w:rsid w:val="00B40AEB"/>
    <w:rsid w:val="00B65812"/>
    <w:rsid w:val="00CC5512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3049"/>
    <w:rPr>
      <w:color w:val="808080"/>
    </w:rPr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">
    <w:name w:val="D650C3ADC6E34C929EE3D2B6C6EAD8DA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">
    <w:name w:val="0F98BC5BD65F4E3D9CB241A0552B3109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">
    <w:name w:val="188595C706B84060A65FC27D8AEC282C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">
    <w:name w:val="4C0CD05467694806A8B4ED31ED85F270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2">
    <w:name w:val="F543BD6017094ECA8A197FD31D42F9F0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2">
    <w:name w:val="43830518B23F43CE95EF1FDBFC3F7B6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2">
    <w:name w:val="D128F3650E61473296914EF9E15A250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1">
    <w:name w:val="D650C3ADC6E34C929EE3D2B6C6EAD8DA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1">
    <w:name w:val="0F98BC5BD65F4E3D9CB241A0552B3109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1">
    <w:name w:val="188595C706B84060A65FC27D8AEC282C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1">
    <w:name w:val="4C0CD05467694806A8B4ED31ED85F270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3">
    <w:name w:val="F543BD6017094ECA8A197FD31D42F9F0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3">
    <w:name w:val="43830518B23F43CE95EF1FDBFC3F7B6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3">
    <w:name w:val="D128F3650E61473296914EF9E15A250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2">
    <w:name w:val="D650C3ADC6E34C929EE3D2B6C6EAD8DA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2">
    <w:name w:val="0F98BC5BD65F4E3D9CB241A0552B3109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2">
    <w:name w:val="188595C706B84060A65FC27D8AEC282C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2">
    <w:name w:val="4C0CD05467694806A8B4ED31ED85F2702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4">
    <w:name w:val="F543BD6017094ECA8A197FD31D42F9F0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4">
    <w:name w:val="43830518B23F43CE95EF1FDBFC3F7B6B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4">
    <w:name w:val="D128F3650E61473296914EF9E15A250B4"/>
    <w:rsid w:val="0083304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נעמה שחר</cp:lastModifiedBy>
  <cp:revision>2</cp:revision>
  <dcterms:created xsi:type="dcterms:W3CDTF">2024-12-01T09:51:00Z</dcterms:created>
  <dcterms:modified xsi:type="dcterms:W3CDTF">2024-12-01T09:51:00Z</dcterms:modified>
</cp:coreProperties>
</file>